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На основу члана 45. став 1. Закона о Влади („Службени гласник РС”, бр. 55/05, 71/05 – исправка, 101/07, 65/08, 16/11, 68/12 – УС, 72/12, 7/14 – УС, 44/14 и 30/18 – др. закон),</w:t>
      </w:r>
    </w:p>
    <w:p w:rsidR="0056332B" w:rsidRPr="00BE75FA" w:rsidRDefault="0003459C" w:rsidP="00226FF5">
      <w:pPr>
        <w:spacing w:after="150" w:line="360" w:lineRule="auto"/>
        <w:jc w:val="center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Влада доноси</w:t>
      </w:r>
    </w:p>
    <w:p w:rsidR="0056332B" w:rsidRPr="00BE75FA" w:rsidRDefault="0003459C" w:rsidP="00226FF5">
      <w:pPr>
        <w:spacing w:after="225" w:line="360" w:lineRule="auto"/>
        <w:jc w:val="center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b/>
          <w:color w:val="000000"/>
        </w:rPr>
        <w:t>СТРАТЕГИЈУ</w:t>
      </w:r>
    </w:p>
    <w:p w:rsidR="0056332B" w:rsidRPr="00BE75FA" w:rsidRDefault="0003459C" w:rsidP="00226FF5">
      <w:pPr>
        <w:spacing w:after="225" w:line="360" w:lineRule="auto"/>
        <w:jc w:val="center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b/>
          <w:color w:val="000000"/>
        </w:rPr>
        <w:t>јавног здравља у Републици Србији 2018–2026. године</w:t>
      </w:r>
    </w:p>
    <w:p w:rsidR="0056332B" w:rsidRPr="00BE75FA" w:rsidRDefault="0003459C" w:rsidP="00226FF5">
      <w:pPr>
        <w:spacing w:after="120" w:line="360" w:lineRule="auto"/>
        <w:jc w:val="center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"Службени гласник РС", број 61 од 8. августа 2018.</w:t>
      </w:r>
    </w:p>
    <w:p w:rsidR="0056332B" w:rsidRPr="00BE75FA" w:rsidRDefault="0003459C" w:rsidP="00226FF5">
      <w:pPr>
        <w:spacing w:after="120" w:line="360" w:lineRule="auto"/>
        <w:jc w:val="center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Увод</w:t>
      </w:r>
    </w:p>
    <w:p w:rsidR="0056332B" w:rsidRPr="00BE75FA" w:rsidRDefault="0003459C" w:rsidP="00226FF5">
      <w:pPr>
        <w:spacing w:after="120" w:line="360" w:lineRule="auto"/>
        <w:jc w:val="center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b/>
          <w:color w:val="000000"/>
        </w:rPr>
        <w:t>„Здрави људи, здравље у свим политикама”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Јавно здравље је наука и уметност превенције болести, продужавања живота и унапређења здравља путем организованих напора друштва. Јавно здравље може се разматрати и путем структура и процеса помоћу којих се здравље популације разуме, чува и унапређује</w:t>
      </w:r>
      <w:r w:rsidRPr="00BE75FA">
        <w:rPr>
          <w:rFonts w:ascii="Times New Roman" w:hAnsi="Times New Roman" w:cs="Times New Roman"/>
          <w:color w:val="000000"/>
          <w:vertAlign w:val="superscript"/>
        </w:rPr>
        <w:t>1</w:t>
      </w:r>
      <w:r w:rsidRPr="00BE75FA">
        <w:rPr>
          <w:rFonts w:ascii="Times New Roman" w:hAnsi="Times New Roman" w:cs="Times New Roman"/>
          <w:color w:val="000000"/>
        </w:rPr>
        <w:t>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Стратегија јавног здравља у Републици Србији (у даљем тексту: Стратегија) подржава унапређење здравља, спречавање болести и продужење квалитетног живота становништва. Добро здравље је од суштинског значаја за одрживи економски и друштвени развој и основна брига у животу сваког лица, породица и друштва.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Стратегија је документ који утврђује општи оквир за акције и идентификује даље правце, остављајући простор за решавање старих и нових изазова.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Стратегијом се подржава испуњавање друштвене бриге за здравље људи и подстиче одговорност државе и друштва у обезбеђењу добробити за све грађане путем унапређења здравља, продужења очекиваног трајања квалитетног живота, очувања здраве животне и радне средине. Циљеви се остварују кроз све облике партнерства за здравље и наглашавање значаја свеобухватног приступа путем интердисциплинарности и мултисекторске сарадње.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У Стратегији се утврђују области деловања у јавном здрављу, оквир, мисија, визија и принципи Стратегије, општи и специфични циљеви, акциони план за деловање, као и начин имплементације, праћења, евалуације и извештавања о спровођењу Стратегије.</w:t>
      </w:r>
    </w:p>
    <w:p w:rsidR="0056332B" w:rsidRPr="00BE75FA" w:rsidRDefault="0003459C" w:rsidP="00226FF5">
      <w:pPr>
        <w:spacing w:after="120" w:line="360" w:lineRule="auto"/>
        <w:jc w:val="both"/>
        <w:rPr>
          <w:rFonts w:ascii="Times New Roman" w:hAnsi="Times New Roman" w:cs="Times New Roman"/>
          <w:color w:val="FF0000"/>
          <w:highlight w:val="yellow"/>
        </w:rPr>
      </w:pPr>
      <w:r w:rsidRPr="00BE75FA">
        <w:rPr>
          <w:rFonts w:ascii="Times New Roman" w:hAnsi="Times New Roman" w:cs="Times New Roman"/>
          <w:b/>
          <w:color w:val="000000"/>
        </w:rPr>
        <w:t xml:space="preserve">1. </w:t>
      </w:r>
      <w:r w:rsidRPr="00BE75FA">
        <w:rPr>
          <w:rFonts w:ascii="Times New Roman" w:hAnsi="Times New Roman" w:cs="Times New Roman"/>
          <w:b/>
          <w:color w:val="FF0000"/>
          <w:highlight w:val="yellow"/>
        </w:rPr>
        <w:t>Области деловања у јавном здрављу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  <w:highlight w:val="yellow"/>
        </w:rPr>
      </w:pPr>
      <w:r w:rsidRPr="00BE75FA">
        <w:rPr>
          <w:rFonts w:ascii="Times New Roman" w:hAnsi="Times New Roman" w:cs="Times New Roman"/>
          <w:color w:val="000000"/>
          <w:highlight w:val="yellow"/>
        </w:rPr>
        <w:t>У складу са законом којим се уређује јавно здравље, области деловања јавног здравља су: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  <w:highlight w:val="yellow"/>
        </w:rPr>
      </w:pPr>
      <w:r w:rsidRPr="00BE75FA">
        <w:rPr>
          <w:rFonts w:ascii="Times New Roman" w:hAnsi="Times New Roman" w:cs="Times New Roman"/>
          <w:color w:val="000000"/>
          <w:highlight w:val="yellow"/>
        </w:rPr>
        <w:t>1) физичко, ментално и социјално здравље становништва;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  <w:highlight w:val="yellow"/>
        </w:rPr>
      </w:pPr>
      <w:r w:rsidRPr="00BE75FA">
        <w:rPr>
          <w:rFonts w:ascii="Times New Roman" w:hAnsi="Times New Roman" w:cs="Times New Roman"/>
          <w:color w:val="000000"/>
          <w:highlight w:val="yellow"/>
        </w:rPr>
        <w:t>2) промоција здравља и превенција болести и повреда;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  <w:highlight w:val="yellow"/>
        </w:rPr>
      </w:pPr>
      <w:r w:rsidRPr="00BE75FA">
        <w:rPr>
          <w:rFonts w:ascii="Times New Roman" w:hAnsi="Times New Roman" w:cs="Times New Roman"/>
          <w:color w:val="000000"/>
          <w:highlight w:val="yellow"/>
        </w:rPr>
        <w:t>3) животна средина и здравље становништва;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  <w:highlight w:val="yellow"/>
        </w:rPr>
      </w:pPr>
      <w:r w:rsidRPr="00BE75FA">
        <w:rPr>
          <w:rFonts w:ascii="Times New Roman" w:hAnsi="Times New Roman" w:cs="Times New Roman"/>
          <w:color w:val="000000"/>
          <w:highlight w:val="yellow"/>
        </w:rPr>
        <w:lastRenderedPageBreak/>
        <w:t>4) радна околина и здравље становништва;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  <w:highlight w:val="yellow"/>
        </w:rPr>
      </w:pPr>
      <w:r w:rsidRPr="00BE75FA">
        <w:rPr>
          <w:rFonts w:ascii="Times New Roman" w:hAnsi="Times New Roman" w:cs="Times New Roman"/>
          <w:color w:val="000000"/>
          <w:highlight w:val="yellow"/>
        </w:rPr>
        <w:t>5) организација и функционисање здравственог система;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  <w:highlight w:val="yellow"/>
        </w:rPr>
        <w:t>6) поступање у кризним и ванредним ситуацијама.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Стратегија се превасходно заснива на деловању у оквиру промоције здравља и превенције болести и повреда.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  <w:highlight w:val="yellow"/>
        </w:rPr>
      </w:pPr>
      <w:r w:rsidRPr="00BE75FA">
        <w:rPr>
          <w:rFonts w:ascii="Times New Roman" w:hAnsi="Times New Roman" w:cs="Times New Roman"/>
          <w:color w:val="000000"/>
        </w:rPr>
        <w:t xml:space="preserve">Под промоцијом здравља подразумева се, у складу са дефиницијом датом у Повељи о унапређењу здравља, Ottawa 1986: „Процес оспособљавања људи да повећају контролу над својим здрављем и унапреде га.” </w:t>
      </w:r>
      <w:r w:rsidRPr="00BE75FA">
        <w:rPr>
          <w:rFonts w:ascii="Times New Roman" w:hAnsi="Times New Roman" w:cs="Times New Roman"/>
          <w:color w:val="000000"/>
          <w:highlight w:val="yellow"/>
        </w:rPr>
        <w:t>Основни правци промоције здравља су: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  <w:highlight w:val="yellow"/>
        </w:rPr>
      </w:pPr>
      <w:r w:rsidRPr="00BE75FA">
        <w:rPr>
          <w:rFonts w:ascii="Times New Roman" w:hAnsi="Times New Roman" w:cs="Times New Roman"/>
          <w:color w:val="000000"/>
          <w:highlight w:val="yellow"/>
        </w:rPr>
        <w:t>1) залагање за здравље, у циљу добијања подршке да се створе битни услови за здравље;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  <w:highlight w:val="yellow"/>
        </w:rPr>
      </w:pPr>
      <w:r w:rsidRPr="00BE75FA">
        <w:rPr>
          <w:rFonts w:ascii="Times New Roman" w:hAnsi="Times New Roman" w:cs="Times New Roman"/>
          <w:color w:val="000000"/>
          <w:highlight w:val="yellow"/>
        </w:rPr>
        <w:t>2) омогућавање људима да достигну пун здравствени потенцијал и једнакост у здрављу (једнак приступ информацијама, вештинама за здрав живот и могућностима здравог избора);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  <w:highlight w:val="yellow"/>
        </w:rPr>
        <w:t>3) посредовање између различитих интереса друштва у стремљењу ка здрављу (мултисекторски, интердисциплинарно у свим сферама живота – између појединаца, породица, заједница, удружења грађана, здравственог система и других чинилаца друштва).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Под превенцијом се подразумева смањивање ризика појаве патолошког процеса, болести, повреде, неспособности или неког другог нежељеног стања или феномена, путем активности и мера повезаних са унапређењем и очувањем здравља, као и успостављање здравља које је нарушено и спречавање или одлагање неповољног тока и исхода иреверзибилних поремећаја здравља. Под примарном превенцијом болести и повреда подразумевају се мере за њихово спречавање и сузбијање, које могу бити опште (повећање стандарда, заштита животне средине и понашање у складу са здрављем) и специфичне (као што је имунизација). Мере секундарне превенције болести су рано откривање болести (скрининзи, самопрегледи и превентивни прегледи) и благовремено лечење. Од значаја је споменути и нивое примордијалне превенције (која укључује елиминацију предиспонирајућих фактора ризика), терцијарне (мере физичке и психо-социјалне рехабилитације и спречавања компликација болести и повреда) и кватернарне превенције (мере за „смањење штете”). Превенција се може сагледати и преко мера универзалне (интервенције усмерене на популацију), селективне (интервенције усмерене на рањиве групе) и индиковане превенције (интервенције усмерене на појединце).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––––––––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1 СЗО. Јачање капацитета и услуга јавног здравља у Европи. Идејни документ. Копенхаген. Регионална канцеларија СЗО за Европу и Универзитет Дурхам 2011.</w:t>
      </w:r>
    </w:p>
    <w:p w:rsidR="00226FF5" w:rsidRPr="00BE75FA" w:rsidRDefault="00226FF5" w:rsidP="00226FF5">
      <w:pPr>
        <w:spacing w:after="120" w:line="360" w:lineRule="auto"/>
        <w:jc w:val="both"/>
        <w:rPr>
          <w:rFonts w:ascii="Times New Roman" w:hAnsi="Times New Roman" w:cs="Times New Roman"/>
          <w:b/>
          <w:color w:val="000000"/>
        </w:rPr>
      </w:pPr>
    </w:p>
    <w:p w:rsidR="0056332B" w:rsidRPr="00BE75FA" w:rsidRDefault="0003459C" w:rsidP="00226FF5">
      <w:pPr>
        <w:spacing w:after="12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b/>
          <w:color w:val="000000"/>
        </w:rPr>
        <w:lastRenderedPageBreak/>
        <w:t>2. Оквир Стратегије јавног здравља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Оквир Стратегије дефинисан је уз уважавање изазова јавног здравља у Републици Србији, као и међународног приступа представљеног у јавноздравственим политикама и областима деловања јавног здравља у Европи. Усмеравање пажње на постизање једнакости у здрављу данас представља основ и повезује се са одрживим развојем путем доброг управљања у три најважнија аспекта одрживог развоја: економски развој, широка социјална инклузија и одрживост животне средине</w:t>
      </w:r>
      <w:r w:rsidRPr="00BE75FA">
        <w:rPr>
          <w:rFonts w:ascii="Times New Roman" w:hAnsi="Times New Roman" w:cs="Times New Roman"/>
          <w:color w:val="000000"/>
          <w:vertAlign w:val="superscript"/>
        </w:rPr>
        <w:t>2</w:t>
      </w:r>
      <w:r w:rsidRPr="00BE75FA">
        <w:rPr>
          <w:rFonts w:ascii="Times New Roman" w:hAnsi="Times New Roman" w:cs="Times New Roman"/>
          <w:color w:val="000000"/>
        </w:rPr>
        <w:t>. Европска политика „Здравље 2020”</w:t>
      </w:r>
      <w:r w:rsidRPr="00BE75FA">
        <w:rPr>
          <w:rFonts w:ascii="Times New Roman" w:hAnsi="Times New Roman" w:cs="Times New Roman"/>
          <w:color w:val="000000"/>
          <w:vertAlign w:val="superscript"/>
        </w:rPr>
        <w:t>3</w:t>
      </w:r>
      <w:r w:rsidRPr="00BE75FA">
        <w:rPr>
          <w:rFonts w:ascii="Times New Roman" w:hAnsi="Times New Roman" w:cs="Times New Roman"/>
          <w:color w:val="000000"/>
        </w:rPr>
        <w:t xml:space="preserve"> истиче вредности деловања за постизање доброг здравља које обухватају једнакост, одрживост, квалитет, транспарентност, одговорност, равноправност полова, достојанство и право на учешће у доношењу одлука.</w:t>
      </w:r>
    </w:p>
    <w:p w:rsidR="0056332B" w:rsidRPr="00BE75FA" w:rsidRDefault="0003459C" w:rsidP="00226FF5">
      <w:pPr>
        <w:spacing w:after="12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2.1. Изазови јавног здравља у Републици Србији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Изазови јавног здравља у Републици Србији су бројни и повезују се са последицама економске кризе, миграцијама становништва и растућим неједнакостима, а сагледавају кроз здравље и детерминанте здравља, систем јавног здравља и јавно-здравствену политику.</w:t>
      </w:r>
    </w:p>
    <w:p w:rsidR="0056332B" w:rsidRPr="00BE75FA" w:rsidRDefault="0003459C" w:rsidP="00226FF5">
      <w:pPr>
        <w:spacing w:after="12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2.1.1. Здравствено стање и детерминанте здравља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  <w:highlight w:val="yellow"/>
        </w:rPr>
      </w:pPr>
      <w:r w:rsidRPr="00BE75FA">
        <w:rPr>
          <w:rFonts w:ascii="Times New Roman" w:hAnsi="Times New Roman" w:cs="Times New Roman"/>
          <w:color w:val="000000"/>
          <w:highlight w:val="yellow"/>
        </w:rPr>
        <w:t>Показатељи здравственог стања и детерминанте здравља упућују на следеће: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  <w:highlight w:val="yellow"/>
        </w:rPr>
      </w:pPr>
      <w:r w:rsidRPr="00BE75FA">
        <w:rPr>
          <w:rFonts w:ascii="Times New Roman" w:hAnsi="Times New Roman" w:cs="Times New Roman"/>
          <w:color w:val="000000"/>
          <w:highlight w:val="yellow"/>
        </w:rPr>
        <w:t>1) смањење броја и старење становника су главна обележја демографских прилика у Републици Србији;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  <w:highlight w:val="yellow"/>
        </w:rPr>
      </w:pPr>
      <w:r w:rsidRPr="00BE75FA">
        <w:rPr>
          <w:rFonts w:ascii="Times New Roman" w:hAnsi="Times New Roman" w:cs="Times New Roman"/>
          <w:color w:val="000000"/>
          <w:highlight w:val="yellow"/>
        </w:rPr>
        <w:t>2) велики број становника Републике Србије оболева, прерано умире или бива онеспособљено услед болести и повреда које су превентабилне;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  <w:highlight w:val="yellow"/>
        </w:rPr>
        <w:t>3) водеће болести и повреде су повезане са социјалним и економским одредницама здравља, односно несразмерно присутне код сиромашног и рањивог становништва, што доприноси неједнакостима у здрављу.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Демографску ситуацију у Републици Србији карактерише старење становништва и негативан природни прираштај. Према постојећој демографској структури становништво Републике Србије је међу најстаријим у Европи (просечна старост је 42,9 годинa). Постојећа депопулација (негативна стопа природног прираштаја –5,1/1000 у 2016. године), чему доприноси и опадање стопе фертилитета, као и рађање жена у све каснијем животном добу (просечан број година живота жена прворотки 28,3 годинe) доводи до смањења укупног броја становника Републике Србије. Просечан број чланова домаћинства износи 2,9</w:t>
      </w:r>
      <w:r w:rsidRPr="00BE75FA">
        <w:rPr>
          <w:rFonts w:ascii="Times New Roman" w:hAnsi="Times New Roman" w:cs="Times New Roman"/>
          <w:color w:val="000000"/>
          <w:vertAlign w:val="superscript"/>
        </w:rPr>
        <w:t>4,5</w:t>
      </w:r>
      <w:r w:rsidRPr="00BE75FA">
        <w:rPr>
          <w:rFonts w:ascii="Times New Roman" w:hAnsi="Times New Roman" w:cs="Times New Roman"/>
          <w:color w:val="000000"/>
        </w:rPr>
        <w:t>. Стопа ризика од сиромаштва у 2016. години је износила 25,5%. Најизложенији ризику од сиромаштва су деца и млади, вишечлана домаћинства и незапослена лица</w:t>
      </w:r>
      <w:r w:rsidRPr="00BE75FA">
        <w:rPr>
          <w:rFonts w:ascii="Times New Roman" w:hAnsi="Times New Roman" w:cs="Times New Roman"/>
          <w:color w:val="000000"/>
          <w:vertAlign w:val="superscript"/>
        </w:rPr>
        <w:t>6</w:t>
      </w:r>
      <w:r w:rsidRPr="00BE75FA">
        <w:rPr>
          <w:rFonts w:ascii="Times New Roman" w:hAnsi="Times New Roman" w:cs="Times New Roman"/>
          <w:color w:val="000000"/>
        </w:rPr>
        <w:t>. Стопа незапослености лица радног узраста у Републици Србији, у III кварталу 2017. године износила је 13,5%</w:t>
      </w:r>
      <w:r w:rsidRPr="00BE75FA">
        <w:rPr>
          <w:rFonts w:ascii="Times New Roman" w:hAnsi="Times New Roman" w:cs="Times New Roman"/>
          <w:color w:val="000000"/>
          <w:vertAlign w:val="superscript"/>
        </w:rPr>
        <w:t>7</w:t>
      </w:r>
      <w:r w:rsidRPr="00BE75FA">
        <w:rPr>
          <w:rFonts w:ascii="Times New Roman" w:hAnsi="Times New Roman" w:cs="Times New Roman"/>
          <w:color w:val="000000"/>
        </w:rPr>
        <w:t>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lastRenderedPageBreak/>
        <w:t>Вредност бруто домаћег производа (БДП) по глави становника у 2017. години износила је 5226 EUR, док је стопа реалног раста БДП износила 1,9%</w:t>
      </w:r>
      <w:r w:rsidRPr="00BE75FA">
        <w:rPr>
          <w:rFonts w:ascii="Times New Roman" w:hAnsi="Times New Roman" w:cs="Times New Roman"/>
          <w:color w:val="000000"/>
          <w:vertAlign w:val="superscript"/>
        </w:rPr>
        <w:t>8</w:t>
      </w:r>
      <w:r w:rsidRPr="00BE75FA">
        <w:rPr>
          <w:rFonts w:ascii="Times New Roman" w:hAnsi="Times New Roman" w:cs="Times New Roman"/>
          <w:color w:val="000000"/>
        </w:rPr>
        <w:t>. Укупни расходи за здравствену заштиту учествују у релативно високом проценту у БДП-у (повећање са 8,13% у 2003. години на 8,98% БДП у 2016. години). Учешће јавних расхода у укупним расходима за здравствену заштиту је смањено са 70,9% у 2003. години на 58,0% у 2016. години, док се у истом периоду учешће приватних расхода у укупним расходима за здравствену заштиту повећало са 29,1% на 42,0%</w:t>
      </w:r>
      <w:r w:rsidRPr="00BE75FA">
        <w:rPr>
          <w:rFonts w:ascii="Times New Roman" w:hAnsi="Times New Roman" w:cs="Times New Roman"/>
          <w:color w:val="000000"/>
          <w:vertAlign w:val="superscript"/>
        </w:rPr>
        <w:t>9</w:t>
      </w:r>
      <w:r w:rsidRPr="00BE75FA">
        <w:rPr>
          <w:rFonts w:ascii="Times New Roman" w:hAnsi="Times New Roman" w:cs="Times New Roman"/>
          <w:color w:val="000000"/>
        </w:rPr>
        <w:t>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Очекивано трајање живота на рођењу је у периоду од 2002. до 2016. године повећано код мушкараца са 69,7 на 73,0 и код жена са 75,0 на 78,0 година. Стопа смртности одојчади је смањена са 10,1 у 2002. години на 5,4 у 2016, док је у популацији Рома овај показатељ смањен у периоду 2005–2014. године са 25,0 на 12,8. Стопа смртности деце млађе од пет година смањена је са 11,5 у 2002. години на 6,1 у 2016. години, док је у популацији Рома, вредност овог показатеља преполовљена у периоду 2005–2014. године (са 28,0 на 14,4)</w:t>
      </w:r>
      <w:r w:rsidRPr="00BE75FA">
        <w:rPr>
          <w:rFonts w:ascii="Times New Roman" w:hAnsi="Times New Roman" w:cs="Times New Roman"/>
          <w:color w:val="000000"/>
          <w:vertAlign w:val="superscript"/>
        </w:rPr>
        <w:t>10, 11</w:t>
      </w:r>
      <w:r w:rsidRPr="00BE75FA">
        <w:rPr>
          <w:rFonts w:ascii="Times New Roman" w:hAnsi="Times New Roman" w:cs="Times New Roman"/>
          <w:color w:val="000000"/>
        </w:rPr>
        <w:t>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Највећем оптерећењу болестима доприносе хроничне незаразне болести и удружени фактори ризика. Болести срца, крвних судова и малигни тумори чинили су преко две трећине свих узрока смрти током 2016. године у Србији. Више од половине свих смртних исхода (51,7%) била је последица умирања од болести система крвотока, а скоро свако пето умрло лице (21,3%) била је жртва малигног тумора. Од последица повреда и тровања умрло је 2,8% становника Републике Србије, од компликација шећерне болести 3,1% и од опструктивних болести плућа 2,6%</w:t>
      </w:r>
      <w:r w:rsidRPr="00BE75FA">
        <w:rPr>
          <w:rFonts w:ascii="Times New Roman" w:hAnsi="Times New Roman" w:cs="Times New Roman"/>
          <w:color w:val="000000"/>
          <w:vertAlign w:val="superscript"/>
        </w:rPr>
        <w:t>12</w:t>
      </w:r>
      <w:r w:rsidRPr="00BE75FA">
        <w:rPr>
          <w:rFonts w:ascii="Times New Roman" w:hAnsi="Times New Roman" w:cs="Times New Roman"/>
          <w:color w:val="000000"/>
        </w:rPr>
        <w:t>. Упоређивањем стандардизованих стопа смртности за водеће узроке смрти у Републици Србији у односу на европску земљу са најнижом стопом и просек стопе у Европској унији, (у даљем тексту: ЕУ) за старост 0-64 година, на 100.000 становника, у 2014. години – приметно је да су вредности највише у Републици Србији: исхемична болест срца (стопа од 25,6 у Републици Србији, наспрам 6,6 у Израелу и 15,8 – просек у ЕУ), цереброваскуларна болест (стопа од 17,3 у Републици Србији, наспрам 2,1 у Луксембургу и 7,2 – просек у ЕУ) и малигне неоплазме (стопа од 101,6 у Републици Србији, наспрам 44,2 у Финској и 66,7 – просек у ЕУ). Слично, стандардизована стопа смртности за водеће хроничне незаразне болести код становништва доби 30–69 година, на 100.000 становника, у 2012. години била је највиша у Републици Србији (498,8), преко два пута већа него у земљи са најнижом вредношћу овог показатеља – Израелу (189,9), а већа него просечне вредности за Европски регион Светске здравствене организације (у даљем тексту: СЗО) (405,0) и ЕУ (289,2).</w:t>
      </w:r>
      <w:r w:rsidRPr="00BE75FA">
        <w:rPr>
          <w:rFonts w:ascii="Times New Roman" w:hAnsi="Times New Roman" w:cs="Times New Roman"/>
          <w:color w:val="000000"/>
          <w:vertAlign w:val="superscript"/>
        </w:rPr>
        <w:t>13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 xml:space="preserve">Пушење и даље представља један од водећих фактора ризика уз тренд повећања учесталости у периоду од 2006. до 2013. године за 3,0% (код жена за 3,4% и мушкараца за 1,9%). Према подацима истраживања здравља 46,1% становништва у 2013. години није конзумирало алкохол, а употреба алкохола као свакодневна појава била је присутна код 4,7% становништва, што представља повећање у односу на 2006. годину (3,4%). Више од половине одраслог </w:t>
      </w:r>
      <w:r w:rsidRPr="00BE75FA">
        <w:rPr>
          <w:rFonts w:ascii="Times New Roman" w:hAnsi="Times New Roman" w:cs="Times New Roman"/>
          <w:color w:val="000000"/>
        </w:rPr>
        <w:lastRenderedPageBreak/>
        <w:t>становништва (56,3%) је прекомерно ухрањено, од чега је гојазних 21,2%. Ово представља значајно повећање у односу на 2006. годину (17,3%). У истом периоду учесталост гојазности код деце скоро двоструко је повећана и у 2013. години региструје се код 4,9% деце</w:t>
      </w:r>
      <w:r w:rsidRPr="00BE75FA">
        <w:rPr>
          <w:rFonts w:ascii="Times New Roman" w:hAnsi="Times New Roman" w:cs="Times New Roman"/>
          <w:color w:val="000000"/>
          <w:vertAlign w:val="superscript"/>
        </w:rPr>
        <w:t>14</w:t>
      </w:r>
      <w:r w:rsidRPr="00BE75FA">
        <w:rPr>
          <w:rFonts w:ascii="Times New Roman" w:hAnsi="Times New Roman" w:cs="Times New Roman"/>
          <w:color w:val="000000"/>
        </w:rPr>
        <w:t>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––––––––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2 УН. Трансформисање света у којем живимо: Агенда за одрживи развој 2030. Усвојена резолуција Генералне скупштине 25. септембра 2015. http://www.un.org/ga/search/view_doc.asp?symbol=A/RES/70/1&amp;Lang=E (приступљено 17. маја 2016. године)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3 СЗО. Здравље 2020. Европски политички оквир и стратегија за 21. век. Копенхаген: Регионална канцеларија СЗО за Европу 2013.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4 Републички завод за статистику Републике Србије. Статистички годишњак 2017. Београд: РЗС 2017.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5 Републички завод за статистику Републике Србије. Статистички календар Републике Србије 2018. Београд: РЗС 2018.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6 Републички завод за статистику Републике Србије. Сиромаштво и социјална неједнакост у Републици Србији у 2016. Саопштење, Анкета о приходима и условима живота, број 087 , год. LXVII, . Београд: РЗС 2017.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7 Републички завод за статистику Републике Србије. Стопе активности, запослености, неактивности и незапослености.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8 Републички завод за статистику Републике Србије. Статистички календар Републике Србије 2018. Београд: РЗС 2018.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9 Одабрани показатељи расхода за здравствену заштиту. Доступно на: http://www.batut.org.rs/index.php?category_id=50 (приступљено 30. маја 2018. године)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10 УНИЦЕФ. Истраживање вишеструких показатеља положаја жена и деце у Србији, 2014. Београд: УНИЦЕФ 2014.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11 Републички завод за статистику Републике Србије. Дев Инфо. Доступно на: http://devinfo.stat.gov.rs/diSrbija/diHome.aspx (приступљено 30. маја 2018. године)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12 Институт за јавно здравље Србије „Др Милан Јовановић Батут”. Здравствено статистички годишњак Републике Србије 2016. Београд: ИЗЈЗ 2017.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lastRenderedPageBreak/>
        <w:t>13 European Health For All Data Base, WHO/Europe. Доступно на: https://gateway.euro.who.int/en/datasets/european-health-for-all-database (приступљено 30. маја 2018. године)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14 Институт за јавно здравље Србије „Др Милан Јовановић Батут”. Истраживање здравља становништва Србије 2013. Београд. ИЗЈЗ 2014.</w:t>
      </w:r>
    </w:p>
    <w:p w:rsidR="0056332B" w:rsidRPr="00BE75FA" w:rsidRDefault="0003459C" w:rsidP="00226FF5">
      <w:pPr>
        <w:spacing w:after="12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2.1.2. Систем јавног здравља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Систем јавног здравља обезбеђује и подржава широк спектар активности и услуга чијим се спровођењем извршавају главни задаци јавног здравља.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За организацију система јавног здравља у Републици Србији одговорно је министарство надлежно за послове здравља. Део одговорности за област јавног здравља имају и министарство надлежно за послове просвете, науке и технолошког развоја, министарство надлежно за послове пољопривреде, заштите животне средине, министарство надлежно за послове рада, запошљавања, борачких и социјалних питања, министарство надлежно за послове омладине и спорта, министарство надлежно за послове културе и информисања, министарство надлежно за послове правде, министарство надлежно за послове финансија, министарство надлежно за послове унутрашњих послова и др.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Здравствене установе у систему јавног здравља дефинисане су Уредбом о Плану мреже здравствених установа</w:t>
      </w:r>
      <w:r w:rsidRPr="00BE75FA">
        <w:rPr>
          <w:rFonts w:ascii="Times New Roman" w:hAnsi="Times New Roman" w:cs="Times New Roman"/>
          <w:color w:val="000000"/>
          <w:vertAlign w:val="superscript"/>
        </w:rPr>
        <w:t>15</w:t>
      </w:r>
      <w:r w:rsidRPr="00BE75FA">
        <w:rPr>
          <w:rFonts w:ascii="Times New Roman" w:hAnsi="Times New Roman" w:cs="Times New Roman"/>
          <w:color w:val="000000"/>
        </w:rPr>
        <w:t>. Уредба дефинише 26 института и завода за јавно здравље као носиоце активности у областима деловања јавног здравља у складу са законом којим се уређује јавно здравље. Значајну улогу у систему јавног здравља имају и домови здравља на територији за коју су основани. Њихову мрежу чини 158 установа у Републици Србији. Имајући у виду поједине области деловања јавног здравља за исходе су битни и остали учесници изван сектора здравствене заштите у складу са законом којим се уређује јавно здравље.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Област јавног здравља регулисана је Законом о јавном здрављу и великим бројем законских и подзаконских прописа. У сладу са чланом 19. Закона о јавном здрављу („Службени гласник РС”, број 15/16), средства за деловање у области јавног здравља обезбеђују се из буџета Републике Србије, аутономне покрајине и јединице локалне самоуправе, од организација здравственог осигурања, продајом услуга и производа у систему јавног здравља, обављањем научноистраживачке и образовне делатности, од легата, поклона, завештања и из других извора у складу са законом.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––––––––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15 („Службени гласник РС”, бр. 42/06, 119/07, 84/08, 71/09, 85/09, 24/10, 6/12, 37/12, 8/14 и 92/15).</w:t>
      </w:r>
    </w:p>
    <w:p w:rsidR="0056332B" w:rsidRPr="00BE75FA" w:rsidRDefault="0003459C" w:rsidP="00226FF5">
      <w:pPr>
        <w:spacing w:after="12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lastRenderedPageBreak/>
        <w:t>2.1.3. Јавноздравствена политика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Јавноздравствена политика усмерена је на социјално-економске детерминанте здравља и смањивање неједнакости у здрављу и подразумева бригу о здрављу у свим политикама у складу са законом којим се уређује јавно здравље. Заснива се на универзалном праву сваког појединца на достизање пуних здравствених потенцијала, имајући у виду холистички приступ здрављу и посматрајући га кроз концепт физичког, менталног и социјалног благостања. На тај начин у фокусу су одреднице здравља и здравље као императив развоја сваког друштва. Овакво опредељење наглашава одговорност државе, односно учешће свих сектора друштва у обезбеђењу услова који омогућавају и подржавају достизање највишег нивоа здравља за сваког појединца. Основне вредности и принципи свеобухватних политика јесу једнакост свих грађана, достојанство и солидарност, уз одговорност друштва, заједница и појединаца, њихово учешће и транспарентност у одлучивању</w:t>
      </w:r>
      <w:r w:rsidRPr="00BE75FA">
        <w:rPr>
          <w:rFonts w:ascii="Times New Roman" w:hAnsi="Times New Roman" w:cs="Times New Roman"/>
          <w:color w:val="000000"/>
          <w:vertAlign w:val="superscript"/>
        </w:rPr>
        <w:t>16</w:t>
      </w:r>
      <w:r w:rsidRPr="00BE75FA">
        <w:rPr>
          <w:rFonts w:ascii="Times New Roman" w:hAnsi="Times New Roman" w:cs="Times New Roman"/>
          <w:color w:val="000000"/>
        </w:rPr>
        <w:t>. Делотворно спровођење оваквих политика захтева свеобухватно и синергистично управљање за здравље, уз развој модела и инструмената који омогућавају боље коришћење ресурса, партиципацију свих актера и делегирање одговорности за здравље, а у циљу смањења неједнакости у здрављу и социјалне искључености, као и унапређења благостања становништва.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Концепт „Здравље у свим политикама” је приступ који је препоручен као одговор на изазове које са собом носи развој међусекторске сарадње и укључивање свих субјеката друштва. То је интегрисани приступ који омогућава достизање друштвених циљева свих владиних ресора</w:t>
      </w:r>
      <w:r w:rsidRPr="00BE75FA">
        <w:rPr>
          <w:rFonts w:ascii="Times New Roman" w:hAnsi="Times New Roman" w:cs="Times New Roman"/>
          <w:color w:val="000000"/>
          <w:vertAlign w:val="superscript"/>
        </w:rPr>
        <w:t>17</w:t>
      </w:r>
      <w:r w:rsidRPr="00BE75FA">
        <w:rPr>
          <w:rFonts w:ascii="Times New Roman" w:hAnsi="Times New Roman" w:cs="Times New Roman"/>
          <w:color w:val="000000"/>
        </w:rPr>
        <w:t>. Интерсекторска, од стране владе координисана политика, заједнички циљеви и интегрисани одговори на постојеће проблеме и изазове, партнерство са невладиним и приватним сектором је основа заједничког управљања, односно ефикасног спровођења здравља у свим политикама. Здравствени сектор има водећу улогу у раду са другим секторима и непосредној подршци Влади у развоју релевантних политика и достизању њихових циљева. Успешна примена овог концепта захтева институционализовани процес интерсекторског решавања проблема, утврђивање мандата и одговорности, иницијатива, финансирања, буџета и одрживих механизама за рад владиних установа у области јавног здравља.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––––––––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16 СЗО. Здравље 2020. Европски политички оквир и стратегија за 21. век. Копенхаген: Регионална канцеларија СЗО за Европу 2013.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17 СЗО. Европски акциони план за јачање капацитета и услуга јавног здравља. EUR/RC62/Conf.Doc./6 Rev.2: Шездесет и друга седница Регионалне комисије СЗО: Малта, 10-13. септембар 2012.</w:t>
      </w:r>
    </w:p>
    <w:p w:rsidR="0056332B" w:rsidRPr="00BE75FA" w:rsidRDefault="0003459C" w:rsidP="00226FF5">
      <w:pPr>
        <w:spacing w:after="12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2.2. Међународни приступ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lastRenderedPageBreak/>
        <w:t>Стратегија се ослања на документ „Здравље 2020: европски оквир политике који подржава акције свих нивоа власти и друштва за здравље и благостање”</w:t>
      </w:r>
      <w:r w:rsidRPr="00BE75FA">
        <w:rPr>
          <w:rFonts w:ascii="Times New Roman" w:hAnsi="Times New Roman" w:cs="Times New Roman"/>
          <w:color w:val="000000"/>
          <w:vertAlign w:val="superscript"/>
        </w:rPr>
        <w:t>18</w:t>
      </w:r>
      <w:r w:rsidRPr="00BE75FA">
        <w:rPr>
          <w:rFonts w:ascii="Times New Roman" w:hAnsi="Times New Roman" w:cs="Times New Roman"/>
          <w:color w:val="000000"/>
        </w:rPr>
        <w:t>, који је усвојен на основу резолуције EUR/RC62/Conf.Doc./8 Регионалне канцеларије СЗО за Европу. Заједнички циљеви су: значајно унапређење здравља и благостања становништва, смањење неједнакости у здрављу, јачање јавног здравља и обезбеђивање здравствених система „усредсређених на људе” који су универзални, равноправни, одрживи и висококвалитетни.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Политика „Здравље 2020” засновано је на четири приоритетне области за деловање: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1) улагање у здравље током целог животног циклуса и оснаживање становништва;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2) усмереност на незаразне и заразне болести које доприносе највећем оптерећењу становништва у Европи;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3) јачање здравствених система „усмерених на људе”, капацитета јавног здравља и спремности за ванредне ситуације, надзор и реаговање;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4) стварање отпорних заједница и средина које пружају подршку.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Формулисање Стратегије у овој области усклађенo је и са десет препознатих кључних области деловања јавног здравља (10 Essential Public Health Operations and Services in Europe/10 ЕPHO’s), у складу са препорукама Регионалне канцеларије СЗО за Европу</w:t>
      </w:r>
      <w:r w:rsidRPr="00BE75FA">
        <w:rPr>
          <w:rFonts w:ascii="Times New Roman" w:hAnsi="Times New Roman" w:cs="Times New Roman"/>
          <w:color w:val="000000"/>
          <w:vertAlign w:val="superscript"/>
        </w:rPr>
        <w:t>19</w:t>
      </w:r>
      <w:r w:rsidRPr="00BE75FA">
        <w:rPr>
          <w:rFonts w:ascii="Times New Roman" w:hAnsi="Times New Roman" w:cs="Times New Roman"/>
          <w:color w:val="000000"/>
        </w:rPr>
        <w:t xml:space="preserve"> и то: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1) надзор над здрављем и благостањем популације;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2) праћење и одговор на опасности по здравље и ванредне ситуације;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3) заштита здравља, укључујући безбедност животне средине и радне околине, хране и друго;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4) промоција здравља, укључујући активности усмерене на друштвене одреднице здравља и неједнакости у здрављу;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5) спречавање и сузбијање заразних и незаразних болести, укључујући рано откривање,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6) обезбеђивање доброг управљања за здравље и благостање;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7) обезбеђивање компетентних јавно-здравствених кадрова;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8) обезбеђивање одрживе организационе структуре и финансирања;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9) заступање, комуникација и друштвена мобилизација за здравље;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10) унапређење јавно-здравствених истраживања за политику и праксу засновану на доказима.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Веома важан документ за пројекцију жељених исхода у јавном здрављу до 2020. године представља и трећи програм ЕУ за активности у области здравља 2014–2020. година</w:t>
      </w:r>
      <w:r w:rsidRPr="00BE75FA">
        <w:rPr>
          <w:rFonts w:ascii="Times New Roman" w:hAnsi="Times New Roman" w:cs="Times New Roman"/>
          <w:color w:val="000000"/>
          <w:vertAlign w:val="superscript"/>
        </w:rPr>
        <w:t>20</w:t>
      </w:r>
      <w:r w:rsidRPr="00BE75FA">
        <w:rPr>
          <w:rFonts w:ascii="Times New Roman" w:hAnsi="Times New Roman" w:cs="Times New Roman"/>
          <w:color w:val="000000"/>
        </w:rPr>
        <w:t>, који се усмерава на следеће основне циљеве</w:t>
      </w:r>
      <w:r w:rsidRPr="00BE75FA">
        <w:rPr>
          <w:rFonts w:ascii="Times New Roman" w:hAnsi="Times New Roman" w:cs="Times New Roman"/>
          <w:color w:val="000000"/>
          <w:vertAlign w:val="superscript"/>
        </w:rPr>
        <w:t>21</w:t>
      </w:r>
      <w:r w:rsidRPr="00BE75FA">
        <w:rPr>
          <w:rFonts w:ascii="Times New Roman" w:hAnsi="Times New Roman" w:cs="Times New Roman"/>
          <w:color w:val="000000"/>
        </w:rPr>
        <w:t>: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lastRenderedPageBreak/>
        <w:t>1) промоција здравља, превенција болести и оснаживање средине која пружа подршку здравим стиловима живота;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2) заштита грађана од озбиљних прекограничних претњи;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3) допринос иновативним, ефикасним и одрживим здравственим системима;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4) подстицање приступачности бољој и безбеднијој здравственој заштити за грађане.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Текуће националне стратегије других земаља (Република Финска, Енглеска, Северна Ирска, Савезна Република Немачка, Република Хрватска, Аустралија и др.) представљају драгоцену помоћ.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Стратегија је у потпуности заснована на Резолуцији Уједињених нација „Трансформисање нашег света: Агенда за одрживи развој до 2030.” и предвиђеним циљевима</w:t>
      </w:r>
      <w:r w:rsidRPr="00BE75FA">
        <w:rPr>
          <w:rFonts w:ascii="Times New Roman" w:hAnsi="Times New Roman" w:cs="Times New Roman"/>
          <w:color w:val="000000"/>
          <w:vertAlign w:val="superscript"/>
        </w:rPr>
        <w:t>22</w:t>
      </w:r>
      <w:r w:rsidRPr="00BE75FA">
        <w:rPr>
          <w:rFonts w:ascii="Times New Roman" w:hAnsi="Times New Roman" w:cs="Times New Roman"/>
          <w:color w:val="000000"/>
        </w:rPr>
        <w:t>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––––––––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18 СЗО. Здравље 2020. Европски политички оквир и стратегија за 21. век. Копенхаген: Регионална канцеларија СЗО за Европу 2013.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19 СЗО. Европски акциони план за јачање капацитета и услуга јавног здравља. EUR/RC62/Conf.Doc./6 Rev.2: Шездесет и друга седница Регионалне комисије СЗО: Малта 10-13. септембра 2012.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20 Европска комисија. Регулатива Европског парламента и Савета о успостављању Програма Здравље за раст, трећи вишегодишњи програм ЕУ у области здравља за период 2014–2020. Брисел, 9.11.2011. COM(2011) 709 финални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21 Трећи здравствени програм ЕК (2014-2020).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22 УН. Трансформација света у којем живимо: Агенда за одрживи развој 2030. Резолуција коју је Генерална скупштина усвојила 25. септембра 2015.</w:t>
      </w:r>
    </w:p>
    <w:p w:rsidR="0056332B" w:rsidRPr="00BE75FA" w:rsidRDefault="0003459C" w:rsidP="00226FF5">
      <w:pPr>
        <w:spacing w:after="12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b/>
          <w:color w:val="000000"/>
        </w:rPr>
        <w:t>3. Мисија, визија и принципи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Мисија Стратегије је да се развија и примењује систем знања, вештина и активности усмерених на унапређење здравља, спречавање и сузбијање болести, продужење и побољшање квалитета живота путем организованих мера друштва.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Визија Стратегије су здравији људи, смањене неједнакости у здрављу и удружене акције власти и друштва за здравље и благостање.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Принципи Стратегије су засновани на људским правима су: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1) одговорност државе и друштва за здравље;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lastRenderedPageBreak/>
        <w:t>2) сви облици партнерства за унапређење здравља;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3) усмереност на популацију и друштвене групе;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4) оријентација ка локалној самоуправи;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5) интерсекторски и мултидисциплинарни рад;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6) акције за социјалне одреднице, факторе ризика и смањивање неједнакости у здрављу.</w:t>
      </w:r>
    </w:p>
    <w:p w:rsidR="0056332B" w:rsidRPr="00BE75FA" w:rsidRDefault="0003459C" w:rsidP="00226FF5">
      <w:pPr>
        <w:spacing w:after="12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b/>
          <w:color w:val="000000"/>
        </w:rPr>
        <w:t>4. Општи и специфични циљеви Стратегије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Следећи мисију, визију и принципе јавног здравља Стратегија има следеће опште циљеве у оквиру којих су специфични и оперативни циљеви: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1) унапређење здравља и смањивање неједнакости у здрављу;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2) унапређење животне средине и радне околине;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3) спречавање и сузбијање болести и водећих ризика по здравље становништва;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4) развој акција промоције здравља у заједници;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5) подршка развоју доступне, квалитетне и ефикасне здравствене заштите;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6) развој система јавног здравља заснованог на доказима из истраживања;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7) унапређење управљања, комуникације и партнерства за примену начела „здравље у свим политикама”.</w:t>
      </w:r>
    </w:p>
    <w:p w:rsidR="0056332B" w:rsidRPr="00BE75FA" w:rsidRDefault="0003459C" w:rsidP="00226FF5">
      <w:pPr>
        <w:spacing w:after="12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4.1. Унапређење здравља и смањивање неједнакости у здрављу</w:t>
      </w:r>
      <w:r w:rsidRPr="00BE75FA">
        <w:rPr>
          <w:rFonts w:ascii="Times New Roman" w:hAnsi="Times New Roman" w:cs="Times New Roman"/>
          <w:i/>
          <w:color w:val="000000"/>
          <w:vertAlign w:val="superscript"/>
        </w:rPr>
        <w:t>23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4.1.1. Унапређење праћења и евалуације здравственог стања и неједнакости у здрављу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4.1.1.1 Све јединице локалне самоуправе/ЈЛС (општине и градови) преко својих савета за здрављe, извештаваће и публиковаће годишње анализе здравственог стања на основу показатеља здравствене статистике, показатеља стања животне и радне средине, демографских и социoекономских одредница здравља;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4.1.1.2 Успоставиће се систем праћења здравственог стања становништва Републике Србије путем посебних истраживања, у складу са претходном праксом, планом СЗО и ЕУ;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4.1.2 Унапређење исхране и физичке активности становништва Републике Србије (тако да се удео одраслог становништва и млађих од 18 година који се правилно хране и физички су активни увећа за 10%;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4.1.2.1 Усвајање Стратегије унапређења исхране и физичке активности (СУИФ);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4.1.2.2 Усвајање Националног програма за унапређење доступности хране;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lastRenderedPageBreak/>
        <w:t>4.1.2.3 Усвајање Националног програма унапређења безбедности хране;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4.1.2.4 Примена и праћење Националног програма за превенцију гојазности код деце и одраслих;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4.1.3 Превенција и сузбијање пушења и изложености дуванском диму, штетне употребе алкохола и злоупотребе дрога (тако да се удео одраслог становништва и млађих од 18 година који свакодневно или повремено пуше, изложени су дуванском диму у радној средини и на јавном месту, прекомерно пију алкохол и злоупотребљавају дроге смањи за 10%;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4.1.3.1 Подршка примени Стратегије контроле дувана и Акционом плану за њену примену, пружа се континуирано;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4.1.3.2 Подршка раду установљених интерсекторских тела значајних у контроли дувана, континуирано;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4.1.3.3 Подршка промени постојећих или усвајање нових прописа до 2026. године, у складу са препорукама Водича за примену Оквирне конвенције о контроли дувана СЗО и законодавства Европске уније;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4.1.3.4 Примена и праћење Националног програма превенције штетне употребе алкохола и алкохолом узрокованих поремећаја у Републици Србији;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4.1.3.5 Континуирана подршка иницијативама јединица локалне самоуправе за ограничење доступности алкохолних пића;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4.1.3.6 Образовање запослених у примарној здравственој заштити за препознавање лица са проблемом прекомерне употребе алкохола и примену метода кратке интервенције, спроводиће се континуирано;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4.1.3.7 Подршка примени Стратегије за спречавање злоупотребе дрога за период 2014-2021. година, континуирано;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4.1.4 Унапређење здравља становништва Републике Србије у областима од водећег јавно здравственог значаја;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4.1.4.1 Примена и праћење Националног програма очувања и унапређења сексуалног и реподруктивног здравља грађана Републике Србије, као и подршка Стратегије и подстицања рађања;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4.1.4.2 Континуирана подршка примени и евалуацији активности у области раног развоја;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4.1.4.3 Унапређење превентивне стоматолошке здравствене заштите, спроводи се континуирано;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lastRenderedPageBreak/>
        <w:t>4.1.4.4 Подршка усвајању Стратегије развоја заштите менталног здравља за период након 2018. године и Акционом плану за њену примену;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4.1.4.5 Континуирана подршка примени и евалуацији Стратегија за спречавање и сузбијање насиља над женама и децом у породици и у партнерским односима;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4.1.5 Унапређење здравља осетљивих друштвених група путем развоја и имплементације додатних мера ради смањења неједнакости у здрављу (тако да се удео осетљивих група које своје здравље процењују као врло добро и одлично повећа за 10%);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4.1.5.1 Дефинисање додатних мера здравствене заштите намењене приоритетним осетљивим друштвеним групама на територији јединица локалне самоуправе/ЈЛС, континуирано;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4.1.5.2 Унапређење приступачности здравствених услуга и доступности здравствене заштите осетљивим друштвеним групама на територији јединица локалне самоуправе, континуирано;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4.1.6 Праћење и евалуација здравственог стања радноактивне популације и неједнакости у здрављу;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4.1.6.1. Анализа здравственог стања радноактивне популације на бази испитивања штетних фактора са радног места и из радне околине и обављених превентивних лекарских прегледа, у складу са важећим прописима и директивама ЕУ;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4.1.6.2. Посебна истраживања осетљивих група радноактивне популације (млади, жене у репродуктивном периоду, старији радници, лица са инвалидитетом, незапослени, запослени у малим и микро правним лицима, пољопривредници).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––––––––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23 Основа за праћење и евалуацију свих специфичних циљева су показатељи дефинисани према Истраживању здравља становништва Србије.</w:t>
      </w:r>
    </w:p>
    <w:p w:rsidR="0056332B" w:rsidRPr="00BE75FA" w:rsidRDefault="0003459C" w:rsidP="00226FF5">
      <w:pPr>
        <w:spacing w:after="12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4.2. Унапређење животне средине и радне околине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4.2.1. Праћење, евалуација и унапређење животне средине и процена ризика за здравље становништва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4.2.1.1. Све јединице локалне самоуправе (општине) извештаваће и публиковаће годишње извештаје о показатељима стања животне средине до 2021. године;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4.2.1.2. Установиће се интегрисани систем праћења, евалуације и унапређења животне средине путем стратешких докумената, у складу са претходном праксом, посебним истраживањима, усвојеним стратегијама, планом СЗО и ЕУ;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lastRenderedPageBreak/>
        <w:t>4.2.1.3. Биће усвојен Национални програм за процену ризика из животне средине на здравље становништва;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4.2.1.4. Обезбеђивање повољног окружења за активно спровођење прихваћених међународних обавеза из области животне средине и здравља (IEA – декларације, протоколи, акциони планови и сл.);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4.2.1.5. Активно спровођење прихваћених међународних обавеза из области животне средине и здравља (IEA – Декларације, Протоколи, Акциони планови и сл.);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4.2.2. Унапређење праћења штетних фактора са радног места и откривање ризика по здравље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4.2.2.1. Континуирано унапређивање испитивања штетних фактора са радног места (хемијске, физичке, биолошке, ергономске и психосоцијалне штетности) и годишње извештавање;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4.2.2.2. Правовремено откривање здравствених ризика у вези са новим технологијама спроводиће се континуирано;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4.2.2.3. Развијање базе података о штетностима на раду и радним местима са повећаним ризиком.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4.2.3. Унапређење снабдевања здравствено исправном водом за пиће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4.2.3.1. Биће донет нови правилник о здравственој исправности воде за пиће;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4.2.3.2. Утврдиће се санитарно-хигијенско и техничко стање водовода на територији Републике Србије;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4.2.3.3. Извршиће се прикључење 30% постојећих малих локалних водовода, приоритетно објеката за снабдевање водом за пиће предшколских и школских установа, на мреже централних водовода;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4.2.4. Унапређење система управљања отпадних материја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4.2.4.1. Ускладиће се регулатива у области управљања отпадом са регулативом ЕУ;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4.2.4.2. Израдиће се регионални и локални планови за управљање отпадом;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4.2.4.3. Израдиће се нова национална стратегија за управљање отпадом;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4.2.4.4. Израдиће се национални планови за поједине токове отпада;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4.2.4.5. Повећаће се број становника обухваћених организованим сакупљањем чврстог отпада на 90%;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4.2.4.6. Континуирано ће се оснаживати капацитети јавно комуналних предузећа у циљу унапређења система управљања отпада;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lastRenderedPageBreak/>
        <w:t>4.2.4.7. Успоставиће се одржив систем за прикупљање амбалажног отпада;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4.2.4.8. Повећаће се број становника који живе на подручју покривеном канализационим системом за 20%;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4.2.4.9. Повећаће се удео отпадних вода које се пречишћавају пре изливања у реципијенте за 20%.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4.2.5. Унапређење стања животне средине и одговор на климатске промене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4.2.5.1. Смањиће се емисија штетних гасова из индустрије, кућних ложишта и моторних возила у односу на 2015. годину за 20%;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4.2.5.2. Континуирано ће се унапређивати контролисана примена средстава за заштиту биља и минералних ђубрива са циљем очувања квалитета земљишта и постизања здравствене безбедности хране;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4.2.5.3. Израдиће се стратешке карте буке, акциони планови за заштиту од буке и акустично зонирање градова;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4.2.5.4. Израдиће се акциони планови за одговор на климатске промене градова;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4.2.5.5. Донеће се и спроводиће се акциони планови за унапређење енергетске ефикасности;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4.2.6. Унапређење образовно-васпитних активности у области очувања и унапређења животне средине и здравља људи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4.2.6.1. Континуирано спровођење едукативних програма усмерених на обезбеђење хигијенски исправне воде за пиће у руралним подручјима;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4.2.6.2. Континуирано спровођење едукативних програма о значају очувања и унапређења стања животне средине и унапређење енергетске ефикасности у предшколским и школским установама;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4.2.6.3. Континуирано спровођење едукативних програма о примени мера личне и колективне заштите и других мера усмерених на сузбијање комараца;</w:t>
      </w:r>
    </w:p>
    <w:p w:rsidR="0056332B" w:rsidRPr="00BE75FA" w:rsidRDefault="0003459C" w:rsidP="00226FF5">
      <w:pPr>
        <w:spacing w:after="12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4.3. Спречавање и сузбијање болести и водећих ризика за здравље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4.3.1. Унапређење епидемиолошког надзора над болестима, повредама и факторима ризика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4.3.1.1. Унапређење регистара лица оболелих од болести и стања од већег јавноздравственог значаја, континуирано;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4.3.1.2. Биће унапређен надзор над водећим заразним болестима, до 2021. године и биће уведен електронски имунизациони регистар;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lastRenderedPageBreak/>
        <w:t>4.3.1.3. Припремљеност и одговор на ванредне ситуације и опасности по здравље, континуирано;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4.3.1.4. Усвојиће се Стратегија развоја система спречавања и сузбијања заразних болести у Републици Србији;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4.3.2. Унапређење успешности система за рано откривање и сузбијање епидемија;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4.3.2.1. Обезбедиће се одрживост примене специфичних мера сузбијања епидемија и подршка, континуирано;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4.3.2.2. Обезбедиће се стандардизација лабораторијских процедура у систему раног откривања и сузбијања епидемија;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4.3.3. Унапређење спречавања и сузбијања хроничних незаразних болести и повреда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4.3.3.1. Унапређење програмске здравствене заштите у области спречавања и сузбијања кардиоваскуларних болести, континуирано;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4.3.3.2. Унапређење програмске здравствене заштите у области спречавања и сузбијања дијабетеса типа 2, спроводиће се континуирано;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4.3.3.3. Унапређење програмске здравствене заштите у области спречавања и сузбијања, као и раног откривања колоректалног карцинома, карцинома дојке и карцинома грлића материце, спроводиће се континуирано;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4.3.3.4. Биће усвојен Програм превенције повреда;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4.3.4. Спречавање и сузбијање професионалних болести, болести у вези с радом и повреда на раду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4.3.4.1. Koнтинуирано унапређење евиденције професионалних болести и повреда, као и њихово спречавање и сузбијање;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4.3.4.2. Биће усвојен Програм заштите запослених у зони јонизујућег и нејонизујућег зрачања, посебно у здравственим установама;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4.3.4.3. Континуирано иновирање плана за ванредне ситуације услед хемијских акцидената у радној средини (и ширења у животну средину) и услед дејства јонизујућег зрачења у радној и животној средини.</w:t>
      </w:r>
    </w:p>
    <w:p w:rsidR="0056332B" w:rsidRPr="00BE75FA" w:rsidRDefault="0003459C" w:rsidP="00226FF5">
      <w:pPr>
        <w:spacing w:after="12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4.4. Развој акција промоције здравља у заједници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4.4.1. Унапређење знања и понашања популације у вези са очувањем и унапређењем здравља и смањивањем фактора ризика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lastRenderedPageBreak/>
        <w:t>4.4.1.1. Континуирано унапређење спровођења здравствено васпитног рада у предшколским установама, основним и средњим школама до 2026. године;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4.4.1.2. Континуирано унапређење спровођења здравствено васпитног рада у здравственим установама;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4.4.1.3. Спроводиће се и евалуирати кампање промоције здравља у складу са приоритетима.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4.4.2. Унапређење партнерства и друштвене укључености за здравље у локалној самоуправи – примена механизама за интегрисано управљање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4.4.2.1. У свим јединицама локалне самоуправе биће основани и функционисати савети за здравље у складу са законом;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4.4.2.2. Сви савети за здравље утврђиваће предлог плана јавног здравља на локалном нивоу, пратиће годишње спровођење плана кроз посебне програме из области јавног здравља;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4.4.3. Развој и оснаживање мреже окружења која подржавају здравље и здраве изборе;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4.4.3.1. Континуирано ће се унапређивати Програм „Здрав вртић” са применом у најмање 45% предшколских установа;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4.4.3.2. Континуирано ће се унапређивати Програм „Здрава школа” са применом у најмање 30 % основних и 20% средњих школа;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4.4.3.3. Континуирано ће се унапређивати Програм „Здрав град” са обухватом од најмање десет градова.</w:t>
      </w:r>
    </w:p>
    <w:p w:rsidR="0056332B" w:rsidRPr="00BE75FA" w:rsidRDefault="0003459C" w:rsidP="00226FF5">
      <w:pPr>
        <w:spacing w:after="12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4.5. Подршка развоју доступне, квалитетне и ефикасне здравствене заштите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4.5.1. Унапређење доступности и приступачности здравствене службе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4.5.1.1. Анализираће се важећи План мреже здравствених установа и усвојити нови прилагођен актуелним здравственим потребама становништва Републике Србије;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4.5.1.2. Анализираће се важећи Правилник о ближим условима за обављање здравствене делатности у здравственим установама и другим облицима здравствене службе и усвојити нови прилагођен оптимуму захтева здравствене службе;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4.5.1.3. Усвојиће се План развоја здравствених кадрова у здравству у Републици Србији, заснован на потребама;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4.5.1.4. Дефинисаће се основни пакет здравствених услуга на свим нивоима здравствене заштите;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lastRenderedPageBreak/>
        <w:t>4.5.1.5. Обезбедиће се финансирање основног пакета здравствених услуга на свим нивоима здравствене заштите из средстава Републичког фонда за здравствено осигурање;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4.5.1.6. Установиће се одржива подела рада међу здравственим установама.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4.5.1.7. Континуирано унапређивање доступности и приступачности здравствене службе за осетљиве популационе групе;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4.5.1.8. Обезбедиће се једнака доступност и приступачност здравствене службе за целокупно становништво.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4.5.2. Унапређење квалитета здравствене заштите и безбедности пацијената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4.5.2.1. Усвојиће се стандарди квалитета свих нивоа здравствене заштите;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4.5.2.2. Усвојиће се нова стратегија за стално унапређење квалитета здравствене заштите и безбедности пацијената;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4.5.2.3. Спроводиће се, пратити и евалуирати стратегија за стално унапређење квалитета здравствене заштите и безбедности пацијената;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4.5.2.4. Акредитоваће се све здравствене установе;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4.5.2.5. Континуирано ће се унапређивати процедуре за поштовање права пацијената;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4.5.2.6. Започеће примена подстицајних механизама финансирања здравствене службе заснованих на критеријумима квалитета и ефикасности.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4.5.3. Унапређење ефикасности здравствене заштите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4.5.3.1. Унапредиће се процена здравствених технологија укључивањем и економске анализе, чиме ће се унапредити поступак одлучивања о лековима, медицинским средствима и процедурама;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4.5.3.2. Формираће се национална политика лекова;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4.5.3.3. Континуирано ће се развијати нови (у просеку три годишње) и ревидирати постојећи водичи добре клиничке праксе (у просеку два годишње).</w:t>
      </w:r>
    </w:p>
    <w:p w:rsidR="0056332B" w:rsidRPr="00BE75FA" w:rsidRDefault="0003459C" w:rsidP="00226FF5">
      <w:pPr>
        <w:spacing w:after="12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4.6. Развој система јавног здравља заснованог на доказима из истраживања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4.6.1. Развој и оснаживање кадрова у систему јавног здравља Републике Србије унапређивањем компетенција према Европском акционом плану за јачање јавноздравствених капацитета и услуга</w:t>
      </w:r>
      <w:r w:rsidRPr="00BE75FA">
        <w:rPr>
          <w:rFonts w:ascii="Times New Roman" w:hAnsi="Times New Roman" w:cs="Times New Roman"/>
          <w:color w:val="000000"/>
          <w:vertAlign w:val="superscript"/>
        </w:rPr>
        <w:t>24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4.6.1.1. Обавиће се анализа јавноздравствених кадрова, дефинисати и усвојити План потреба за јавноздравственим кадровима у установама из Плана мреже здравствених установа;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lastRenderedPageBreak/>
        <w:t>4.6.1.2. Усагласиће се и усвојити измене и допуне Правилника о ближим условима за обављање здравствене делатности у здравственим установама и другим облицима здравствене службе, тако да међу запосленима буду наведена сва одговарајућа занимања за обављање послова јавног здравља</w:t>
      </w:r>
      <w:r w:rsidRPr="00BE75FA">
        <w:rPr>
          <w:rFonts w:ascii="Times New Roman" w:hAnsi="Times New Roman" w:cs="Times New Roman"/>
          <w:color w:val="000000"/>
          <w:vertAlign w:val="superscript"/>
        </w:rPr>
        <w:t>25</w:t>
      </w:r>
      <w:r w:rsidRPr="00BE75FA">
        <w:rPr>
          <w:rFonts w:ascii="Times New Roman" w:hAnsi="Times New Roman" w:cs="Times New Roman"/>
          <w:color w:val="000000"/>
        </w:rPr>
        <w:t>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4.6.1.3. Развиће се и усвојити петогодишњи планови усавршавања кадрова путем акредитованих академских програма из јавног здравља и акредитованих курсева континуиране едукације у свим здравственим установама из Плана мреже здравствених установа;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4.6.1.4. Континуирано ће се спроводити усавршавање кадрова из завода и института јавног здравља, домова здравља и других здравствених установа на основу петогодишњег плана, и кадрова институција изван система здравствене заштите путем акредитованих академских програма из јавног здравља и акредитованих курсева континуиране едукације;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4.6.1.5. Установе у области образовања континуирано ће сарађивати са институцијама државне управе, заводима и институтима јавног здравља, осталим институцијама и удружењима грађана на развоју нових компетенција заснованих на изазовима јавног здравља и потребама запослених у јавном здрављу.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4.6.2. Развој простора, опреме и информационог система института и завода за јавно здравље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4.6.2.1. Све делатности института и завода за јавно здравље биће акредитоване;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4.6.2.2. Биће потпуно развијен информациони систем јавног здравља у институтима и заводима за јавно здравље;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4.6.2.3. Институт за јавно здравље Србије континуирано ће да развија комуникациони центар.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4.6.3. Успостављање одрживог финансирања завода и института за јавно здравље и фискалних подстицаја за јавно здравствене активности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4.6.3.1. Анализираће се постојећи систем финансирања завода и института јавног здравља и дефинисати препоруке за унапређење;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4.6.3.2. Усвојиће се измене финансирања завода и института за јавно здравље, тако да доминира извор финансирања из буџета до 60%, путем програма од општег интереса;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4.6.3.3. Предложиће се и усвојити минимални скуп услуга које обављају заводи и институти за јавно здравље, а финансира Републички фонд здравственог осигурања, на основу доприноса;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4.6.3.4. Усвојиће се измене прописа тако да се текући трошкови завода и института за јавно здравље покривају као у свим осталим установама из Плана мреже здравствених установа;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lastRenderedPageBreak/>
        <w:t>4.6.3.5. Унапређиваће се финансирање активности Института за јавно здравље Србије засновано на буџетским средствима, континуирано;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4.6.3.6. На основу анализе, предложиће се министарству надлежном за послове финансија и Влади обим подстицаја усмерених на јавно-здравствене активности завода и института за јавно здравље;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4.6.3.7. Предложиће се измене прописа о финансирању програма јавног здравља на територији локалне самоуправе, тако да јединице локалних самоуправа буду у обавези да финансирају програме јавног здравља на својој територији.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4.6.4. Оснаживање мреже завода и института за јавно здравље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4.6.4.1. Развиће се модел за оперативни план координације активности мреже института и завода за јавно здравље;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4.6.4.2. Институт за јавно здравље Србије ће спроводити оперативни план координације активности мреже института и завода за јавно здравље уз евалуацију и извештавање.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4.6.5. Развој јавноздравствених истраживања и иновација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4.6.5.1. Биће дефинисан и усвојен национални програм за истраживања и развој у јавном здрављу, уз сарадњу установа у области образовања, института и завода за јавно здравље, других институција изван система здравствене заштите и удружења грађана;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4.6.5.2. Унапређење сарадње у истраживачком раду из приоритетних области јавног здравља између института за јавно здравље, академских институција у оквиру и изван здравственог сектора, спроводиће се континуирано.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––––––––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24 То је седма област деловања у јавном здрављу Европском акционом плану за јачање јавноздравствених капацитета и услуга Светске здравствене организације (EPHO 7 – European Public Health Operation 7. WHO. European Action Plan for Strengthening Public Health Capacities and Services – EAP. Copenhagen: WHO 2012.)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25 Одговарајућа занимања су дефинисана Правилником о листи стручних, академских и научних назива, („Службени гласник РС”, бр. 30/07, 112/08, 72/09 и 81/10) као и Правилником о специјализацијама и ужим специјализацијама здравствених радника и здравствених сарадника („Службени гласник РС”, број 10/13).</w:t>
      </w:r>
    </w:p>
    <w:p w:rsidR="0056332B" w:rsidRPr="00BE75FA" w:rsidRDefault="0003459C" w:rsidP="00226FF5">
      <w:pPr>
        <w:spacing w:after="12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i/>
          <w:color w:val="000000"/>
        </w:rPr>
        <w:t>4.7. Унапређење управљања, комуникације и партнерства за примену начела „здравље у свим политикама”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4.7.1. Развој и унапређење система за примену партиципаторног управљања за здравље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lastRenderedPageBreak/>
        <w:t>4.7.1.1. Национални савет за јавно здравље ће бити функционалан као механизам интегрисаног управљања у спровођењу здравља у свим политикама;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4.7.1.2. Предложиће се усвајање и примене прописа у свим секторима од значаја за јавно здравље.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4.7.2. Развој и унапређење система за информисано одлучивање засновано на доказима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4.7.2.1. Унапређен систем за информисање, одлучивање засновано на документима;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4.7.2.2. Успостављен систем за прикупљање података, анализу и извештавање о здрављу и одредницама здравља на свим нивоима према препорукама СЗО и ЕУ;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4.7.2.3. Успостављен систем за праћење примене политика, стратегија и програма јавног здравља на свим нивоима, путем активности мреже института и завода за јавно здравље и координације Института за јавно здравље Србије.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4.7.3. Унапређење комуникације о здрављу и одредницама здравља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4.7.3.1. Успостављен систем за примену стратешког приступа комуникације о здрављу и одредницама здравља на свим нивоима, путем активности мреже завода и института за јавно здравље.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4.7.3.2. Развијени механизми заступања за здравље на свим нивоима.</w:t>
      </w:r>
    </w:p>
    <w:p w:rsidR="0056332B" w:rsidRPr="00BE75FA" w:rsidRDefault="0003459C" w:rsidP="00226FF5">
      <w:pPr>
        <w:spacing w:after="12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b/>
          <w:color w:val="000000"/>
        </w:rPr>
        <w:t>5. Акциони план за период од 2018. до 2026. године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Акциони план за спровођење Стратегије за период од 2018. до 2026. године (у даљем тексту: Акциони план) описује укупан спектар активности које се предузимају у области јавног здравља и оставља могућност да се, паралелно са имплементацијом Стратегије, активности даље развијају, унапређују и евалуирају.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Активности координирају институти и заводи за јавно здравље, а реализација активности спроводиће се према приоритетима и доступности извора финансирања.</w:t>
      </w:r>
    </w:p>
    <w:p w:rsidR="0056332B" w:rsidRPr="00BE75FA" w:rsidRDefault="0003459C" w:rsidP="00226FF5">
      <w:pPr>
        <w:spacing w:after="12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b/>
          <w:color w:val="000000"/>
        </w:rPr>
        <w:t>6. Имплементација, праћење, евалуација и извештавање о спровођењу Стратегије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У имплементацији Стратегије, министарство надлежно за послове здравља сарађује са свим партнерима из здравственог система, као и са свим другим партнерима ван система здравствене заштите.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Праћење спровођења Стратегије обавља Институт за јавно здравље Србије „Др Милан Јовановић Батут”, заједно са институтима и заводима за јавно здравље, као носиоцима активности у областима деловања јавног здравља, о чему се обавештава министар надлежан за послове здравља.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lastRenderedPageBreak/>
        <w:t>Евалуација спровођења Стратегије обавља се у свакој фази процеса спровођења Акционог плана. За евалуацију се користе здравствени показатељи Европске уније (ECHI-2) и индикатори изабрани од стране стручњака одговорних за поједине активности и програме. Годишње извештавање министарства надлежног за послове здравља је обавезно и садржи: резултате спроведених активности, тешкоће и проблеме у реализацији, као и предлог мера за унапређење.</w:t>
      </w:r>
    </w:p>
    <w:p w:rsidR="0056332B" w:rsidRPr="00BE75FA" w:rsidRDefault="0003459C" w:rsidP="00226FF5">
      <w:pPr>
        <w:spacing w:after="12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b/>
          <w:color w:val="000000"/>
        </w:rPr>
        <w:t>7. Финансијска средства за спровођење Стратегије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За спровођење ове стратегије обезбеђена су средства у буџету Републике Србије за 2018. годину, и то: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На разделу 27 – Министарство здравља, у оквиру програма: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– 1801 – Уређење и надзор у области здравства, програмска активност 0001 – Уређење здравственог система, економска класификација 411 – Плате, додаци и накнаде запослених (зараде), у износу од 10.870.264 динара и економска класификација 412 – Социјални доприноси на терет послодавца, у износу од 4.636153 динара;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– 1801 – Уређење и надзор у области здравства, програмска активност 0007 – Администрација и управљање, економска класификација 411 – Плате, додаци и накнаде запослених (зараде), у износу од 187.823 динара и економска класификација 412 – Социјални доприноси на терет послодавца, у износу од 80.112 динара;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– 1802 – Превентивна здравствена заштита, програмска активност 0001 – Подршка раду Института „Др Милан Јовановић Батут”, економска класификација 423 – Услуге по уговору у износу од 2.392.380,00 динара и економска класификација 465 – остале дотације и трансфери у износу од 15.330.315,00 динара; програмска активност 0002 – Подршка раду института и завода за јавно здравље, економска класификација 465 – остале дотације и трансфери у износу од 58.870.616 динара;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– 1809 – Превенција и контрола водећих хроничних незаразних обољења, програмска активност 0001 – Подршка раду Канцеларије за контролу дувана, економска класификација 465 – остале дотације и трансфери, у износу од 300.000 динара.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На разделу 30 – Министарство за рад, запошљавање, борачка и социјална питања, у оквиру Програма: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– 0902 – Социјална заштита, програмска активност 0004 – Подршка удружењима и локалним заједницима, економска класификација 481 – Дотације невладиним организацијама у износу од 327.883.990 динара.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lastRenderedPageBreak/>
        <w:t>У финансијском плану Републичког фонда за здравствено осигурање у 2018.години обезбеђена су средства у износу од 4.259.501.000 динара.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За спровођење ове стратегије није потребно обезбедити средства са раздела других носилаца односно учесника у спровођењу ове стратегије.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У 2019. години, средства ће се обезбедити у складу са билансним могућностима буџета Републике Србије односно лимитима, које утврди Министарство финансија.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Финансијска средства за спровођење Стратегије, обезбеђују се према предвиђеним активностима у Акционом плану, и из буџета аутономне покрајине и јединица локалне самоуправе, од организација здравственог осигурања, продајом услуга и производа у систему јавног здравља, обављањем научноистраживачке и образовне делатности, од легата, поклона, донација и других извора у складу са законом.</w:t>
      </w:r>
    </w:p>
    <w:p w:rsidR="0056332B" w:rsidRPr="00BE75FA" w:rsidRDefault="0003459C" w:rsidP="00226FF5">
      <w:pPr>
        <w:spacing w:after="12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b/>
          <w:color w:val="000000"/>
        </w:rPr>
        <w:t>8. Акциони план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Акциони план за спровођење Стратегије за период од 2018. до 2026. године, одштампан је уз ову стратегију и чини њен саставни део.</w:t>
      </w:r>
    </w:p>
    <w:p w:rsidR="0056332B" w:rsidRPr="00BE75FA" w:rsidRDefault="0003459C" w:rsidP="00226FF5">
      <w:pPr>
        <w:spacing w:after="12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b/>
          <w:color w:val="000000"/>
        </w:rPr>
        <w:t>9. Завршни део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Ову стратегију објавити у „Службеном гласнику Републике Србије”.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05 број 500-7183/2018-1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У Београду, 30. јула 2017. године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b/>
          <w:color w:val="000000"/>
        </w:rPr>
        <w:t>Влада</w:t>
      </w:r>
      <w:bookmarkStart w:id="0" w:name="_GoBack"/>
      <w:bookmarkEnd w:id="0"/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color w:val="000000"/>
        </w:rPr>
        <w:t>Председник,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b/>
          <w:color w:val="000000"/>
        </w:rPr>
        <w:t>Ана Брнабић,</w:t>
      </w:r>
      <w:r w:rsidRPr="00BE75FA">
        <w:rPr>
          <w:rFonts w:ascii="Times New Roman" w:hAnsi="Times New Roman" w:cs="Times New Roman"/>
          <w:color w:val="000000"/>
        </w:rPr>
        <w:t xml:space="preserve"> с.р.</w:t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BE75FA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32145" cy="4072442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332B" w:rsidRPr="00226FF5" w:rsidRDefault="0003459C" w:rsidP="00226FF5">
      <w:pPr>
        <w:spacing w:after="150" w:line="360" w:lineRule="auto"/>
        <w:jc w:val="both"/>
        <w:rPr>
          <w:rFonts w:ascii="Times New Roman" w:hAnsi="Times New Roman" w:cs="Times New Roman"/>
        </w:rPr>
      </w:pPr>
      <w:r w:rsidRPr="00BE75FA">
        <w:rPr>
          <w:rFonts w:ascii="Times New Roman" w:hAnsi="Times New Roman" w:cs="Times New Roman"/>
          <w:noProof/>
        </w:rPr>
        <w:drawing>
          <wp:inline distT="0" distB="0" distL="0" distR="0">
            <wp:extent cx="5732145" cy="4072442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6332B" w:rsidRPr="00226FF5" w:rsidSect="00EF02CB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hideSpellingErrors/>
  <w:defaultTabStop w:val="720"/>
  <w:characterSpacingControl w:val="doNotCompress"/>
  <w:compat/>
  <w:rsids>
    <w:rsidRoot w:val="0056332B"/>
    <w:rsid w:val="0003459C"/>
    <w:rsid w:val="00226FF5"/>
    <w:rsid w:val="00485BBA"/>
    <w:rsid w:val="0056332B"/>
    <w:rsid w:val="00BE75FA"/>
    <w:rsid w:val="00D23098"/>
    <w:rsid w:val="00EF02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/>
    <w:lsdException w:name="Emphasis" w:semiHidden="0" w:uiPriority="20" w:unhideWhenUsed="0" w:qFormat="1"/>
    <w:lsdException w:name="Table Grid" w:semiHidden="0" w:uiPriority="59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type="paragraph" w:default="1" w:styleId="Normal">
    <w:name w:val="Normal"/>
    <w:qFormat/>
    <w:rsid w:val="004A3277"/>
    <w:rPr>
      <w:rFonts w:ascii="Verdana" w:hAnsi="Verdana" w:cs="Verdana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41CD9"/>
  </w:style>
  <w:style w:type="character" w:customStyle="1" w:styleId="Heading1Char">
    <w:name w:val="Heading 1 Char"/>
    <w:basedOn w:val="DefaultParagraphFont"/>
    <w:link w:val="Heading1"/>
    <w:uiPriority w:val="9"/>
    <w:rsid w:val="00841CD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Heading4Char">
    <w:name w:val="Heading 4 Char"/>
    <w:basedOn w:val="DefaultParagraphFont"/>
    <w:link w:val="Heading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841CD9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sz="8" w:space="4" w:color="5B9BD5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sid w:val="00EF02CB"/>
    <w:rPr>
      <w:color w:val="0563C1" w:themeColor="hyperlink"/>
      <w:u w:val="single"/>
    </w:rPr>
  </w:style>
  <w:style w:type="table" w:styleId="TableGrid">
    <w:name w:val="Table Grid"/>
    <w:basedOn w:val="TableNormal"/>
    <w:uiPriority w:val="59"/>
    <w:rsid w:val="00EF02C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5B9BD5" w:themeColor="accent1"/>
      <w:sz w:val="18"/>
      <w:szCs w:val="18"/>
    </w:rPr>
  </w:style>
  <w:style w:type="paragraph" w:customStyle="1" w:styleId="DocDefaults">
    <w:name w:val="DocDefaults"/>
    <w:rsid w:val="00EF02CB"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76" Type="http://schemas.openxmlformats.org/officeDocument/2006/relationships/image" Target="media/image73.png"/><Relationship Id="rId84" Type="http://schemas.openxmlformats.org/officeDocument/2006/relationships/fontTable" Target="fontTable.xml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77" Type="http://schemas.openxmlformats.org/officeDocument/2006/relationships/image" Target="media/image74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80" Type="http://schemas.openxmlformats.org/officeDocument/2006/relationships/image" Target="media/image77.png"/><Relationship Id="rId85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83" Type="http://schemas.openxmlformats.org/officeDocument/2006/relationships/image" Target="media/image80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image" Target="media/image7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62</Pages>
  <Words>6865</Words>
  <Characters>39136</Characters>
  <Application>Microsoft Office Word</Application>
  <DocSecurity>0</DocSecurity>
  <Lines>326</Lines>
  <Paragraphs>91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45910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O.Milovanovic</dc:creator>
  <cp:lastModifiedBy>Ucionica</cp:lastModifiedBy>
  <cp:revision>4</cp:revision>
  <dcterms:created xsi:type="dcterms:W3CDTF">2019-02-08T18:00:00Z</dcterms:created>
  <dcterms:modified xsi:type="dcterms:W3CDTF">2019-02-10T11:36:00Z</dcterms:modified>
</cp:coreProperties>
</file>